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</w:rPr>
        <w:t>307308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Ko</w:t>
      </w:r>
      <w:r>
        <w:rPr>
          <w:b/>
          <w:sz w:val="24"/>
        </w:rPr>
        <w:t>r</w:t>
      </w:r>
      <w:r>
        <w:rPr>
          <w:rFonts w:hint="eastAsia" w:eastAsia="宋体"/>
          <w:b/>
          <w:sz w:val="24"/>
          <w:lang w:val="en-US" w:eastAsia="zh-CN"/>
        </w:rPr>
        <w:t>e</w:t>
      </w:r>
      <w:r>
        <w:rPr>
          <w:b/>
          <w:sz w:val="24"/>
        </w:rPr>
        <w:t>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BigCR for High power UE for inter-band CA with power class 2 on single carrier uplink on FDD band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HPUE_FR1_FDD_NR_CADC_R18-Core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To introduce PC2 on FDD carrier for CA_n3A-n78A by 2Tx UE architecture, related requirements were agreed in RAN4-106bis-e meeting (R4-2306544)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Includes </w:t>
            </w:r>
            <w:r>
              <w:rPr>
                <w:rFonts w:hint="eastAsia" w:eastAsia="宋体"/>
                <w:lang w:val="en-US" w:eastAsia="zh-CN"/>
              </w:rPr>
              <w:t>PC2  Rx requirements for DL_n3A-n78A_UL_n3A by 2Tx UE architecture, as agreed in WF R4-2306544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Relevant high power UE requirements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  <w: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  <w:t>===================Start of 1st changes=================</w:t>
      </w:r>
    </w:p>
    <w:p>
      <w:pPr>
        <w:pStyle w:val="4"/>
        <w:rPr>
          <w:lang w:eastAsia="zh-CN"/>
        </w:rPr>
      </w:pPr>
      <w:r>
        <w:rPr>
          <w:lang w:eastAsia="zh-CN"/>
        </w:rPr>
        <w:t>7.3A.4</w:t>
      </w:r>
      <w:r>
        <w:rPr>
          <w:lang w:eastAsia="zh-CN"/>
        </w:rPr>
        <w:tab/>
      </w:r>
      <w:r>
        <w:rPr>
          <w:lang w:eastAsia="zh-CN"/>
        </w:rPr>
        <w:t>Reference sensitivity exceptions due to UL harmonic interference for CA</w:t>
      </w:r>
    </w:p>
    <w:p>
      <w:pPr>
        <w:rPr>
          <w:rFonts w:eastAsia="宋体"/>
          <w:lang w:val="en-US" w:eastAsia="zh-CN"/>
        </w:rPr>
      </w:pPr>
      <w:r>
        <w:rPr>
          <w:lang w:val="en-US"/>
        </w:rPr>
        <w:t>Sensitivity degradation is allowed for different combinations of UL configurations and DL channel bandwidths</w:t>
      </w:r>
      <w:r>
        <w:rPr>
          <w:rFonts w:hint="eastAsia" w:eastAsia="宋体"/>
          <w:lang w:val="en-US" w:eastAsia="zh-CN"/>
        </w:rPr>
        <w:t xml:space="preserve"> if </w:t>
      </w:r>
      <w:r>
        <w:rPr>
          <w:lang w:val="en-US"/>
        </w:rPr>
        <w:t>a band in frequency range 1 is impacted by UL harmonic interference from another band</w:t>
      </w:r>
      <w:r>
        <w:rPr>
          <w:rFonts w:eastAsia="宋体"/>
          <w:lang w:val="en-US" w:eastAsia="zh-CN"/>
        </w:rPr>
        <w:t xml:space="preserve"> which belongs to NR band</w:t>
      </w:r>
      <w:r>
        <w:rPr>
          <w:lang w:val="en-US"/>
        </w:rPr>
        <w:t xml:space="preserve"> in frequency range 1 of the same </w:t>
      </w:r>
      <w:r>
        <w:t xml:space="preserve">downlink </w:t>
      </w:r>
      <w:r>
        <w:rPr>
          <w:lang w:val="en-US"/>
        </w:rPr>
        <w:t>CA configuration. Reference sensitivity exceptions and uplink/downlink configurations</w:t>
      </w:r>
      <w:r>
        <w:rPr>
          <w:rFonts w:hint="eastAsia" w:eastAsia="宋体"/>
          <w:lang w:val="en-US" w:eastAsia="zh-CN"/>
        </w:rPr>
        <w:t xml:space="preserve"> </w:t>
      </w:r>
      <w:r>
        <w:t xml:space="preserve">due to UL harmonic </w:t>
      </w:r>
      <w:r>
        <w:rPr>
          <w:rFonts w:eastAsia="宋体"/>
          <w:lang w:val="en-US" w:eastAsia="zh-CN"/>
        </w:rPr>
        <w:t xml:space="preserve">from a PC3 aggressor NR UL band for either </w:t>
      </w:r>
      <w:r>
        <w:rPr>
          <w:rFonts w:eastAsia="宋体"/>
          <w:lang w:eastAsia="zh-CN"/>
        </w:rPr>
        <w:t xml:space="preserve">single band uplink or </w:t>
      </w:r>
      <w:r>
        <w:rPr>
          <w:rFonts w:eastAsia="宋体"/>
          <w:lang w:val="en-US" w:eastAsia="zh-CN"/>
        </w:rPr>
        <w:t xml:space="preserve">PC3 or PC2 CA </w:t>
      </w:r>
      <w:r>
        <w:rPr>
          <w:lang w:val="en-US"/>
        </w:rPr>
        <w:t>are specified in Table 7.3A.4-1.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>For these exceptions, only the listed test points in Table 7.3A.4-1 are needed to be tested.</w:t>
      </w:r>
    </w:p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>
      <w:pPr>
        <w:rPr>
          <w:rFonts w:ascii="Arial" w:hAnsi="Arial" w:eastAsia="宋体" w:cs="Arial"/>
          <w:lang w:val="en-US" w:eastAsia="zh-CN"/>
        </w:rPr>
      </w:pPr>
      <w:r>
        <w:rPr>
          <w:rFonts w:hint="eastAsia" w:eastAsia="宋体"/>
          <w:lang w:val="en-US" w:eastAsia="zh-CN"/>
        </w:rPr>
        <w:t>For a PC2 aggressor NR UL band for NR DL CA FR1,</w:t>
      </w:r>
      <w:r>
        <w:t xml:space="preserve"> </w:t>
      </w:r>
      <w:r>
        <w:rPr>
          <w:rFonts w:hint="eastAsia" w:eastAsia="宋体"/>
          <w:lang w:val="en-US" w:eastAsia="zh-CN"/>
        </w:rPr>
        <w:t>t</w:t>
      </w:r>
      <w:r>
        <w:t>he maximum amount of degradation is specified in Table 7.3</w:t>
      </w:r>
      <w:r>
        <w:rPr>
          <w:rFonts w:hint="eastAsia" w:eastAsia="宋体"/>
          <w:lang w:val="en-US" w:eastAsia="zh-CN"/>
        </w:rPr>
        <w:t>A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t>-</w:t>
      </w:r>
      <w:r>
        <w:rPr>
          <w:rFonts w:hint="eastAsia" w:eastAsia="宋体"/>
          <w:lang w:val="en-US" w:eastAsia="zh-CN"/>
        </w:rPr>
        <w:t>2a</w:t>
      </w:r>
      <w:ins w:id="0" w:author="China Unicom" w:date="2023-05-30T17:17:46Z">
        <w:r>
          <w:rPr>
            <w:rFonts w:hint="eastAsia" w:eastAsia="宋体"/>
            <w:lang w:val="en-US" w:eastAsia="zh-CN"/>
          </w:rPr>
          <w:t xml:space="preserve">, </w:t>
        </w:r>
      </w:ins>
      <w:ins w:id="1" w:author="China Unicom" w:date="2023-05-30T17:17:47Z">
        <w:r>
          <w:rPr>
            <w:rFonts w:hint="eastAsia" w:eastAsia="宋体"/>
            <w:lang w:val="en-US" w:eastAsia="zh-CN"/>
          </w:rPr>
          <w:t xml:space="preserve">and </w:t>
        </w:r>
      </w:ins>
      <w:ins w:id="2" w:author="China Unicom" w:date="2023-05-30T17:18:01Z">
        <w:r>
          <w:rPr/>
          <w:t>Table 7.3</w:t>
        </w:r>
      </w:ins>
      <w:ins w:id="3" w:author="China Unicom" w:date="2023-05-30T17:18:01Z">
        <w:r>
          <w:rPr>
            <w:rFonts w:hint="eastAsia" w:eastAsia="宋体"/>
            <w:lang w:val="en-US" w:eastAsia="zh-CN"/>
          </w:rPr>
          <w:t>A</w:t>
        </w:r>
      </w:ins>
      <w:ins w:id="4" w:author="China Unicom" w:date="2023-05-30T17:18:01Z">
        <w:r>
          <w:rPr/>
          <w:t>.</w:t>
        </w:r>
      </w:ins>
      <w:ins w:id="5" w:author="China Unicom" w:date="2023-05-30T17:18:01Z">
        <w:r>
          <w:rPr>
            <w:rFonts w:hint="eastAsia" w:eastAsia="宋体"/>
            <w:lang w:val="en-US" w:eastAsia="zh-CN"/>
          </w:rPr>
          <w:t>4</w:t>
        </w:r>
      </w:ins>
      <w:ins w:id="6" w:author="China Unicom" w:date="2023-05-30T17:18:01Z">
        <w:r>
          <w:rPr/>
          <w:t>-</w:t>
        </w:r>
      </w:ins>
      <w:ins w:id="7" w:author="China Unicom" w:date="2023-05-30T17:18:01Z">
        <w:r>
          <w:rPr>
            <w:rFonts w:hint="eastAsia" w:eastAsia="宋体"/>
            <w:lang w:val="en-US" w:eastAsia="zh-CN"/>
          </w:rPr>
          <w:t>2</w:t>
        </w:r>
      </w:ins>
      <w:ins w:id="8" w:author="China Unicom" w:date="2023-05-30T17:18:03Z">
        <w:r>
          <w:rPr>
            <w:rFonts w:hint="eastAsia" w:eastAsia="宋体"/>
            <w:lang w:val="en-US" w:eastAsia="zh-CN"/>
          </w:rPr>
          <w:t>b</w:t>
        </w:r>
      </w:ins>
      <w:r>
        <w:t xml:space="preserve"> for a UE </w:t>
      </w:r>
      <w:del w:id="9" w:author="China Unicom" w:date="2023-05-30T17:18:13Z">
        <w:r>
          <w:rPr>
            <w:rFonts w:hint="default" w:eastAsia="宋体"/>
            <w:lang w:val="en-US" w:eastAsia="zh-CN"/>
          </w:rPr>
          <w:delText>not</w:delText>
        </w:r>
      </w:del>
      <w:ins w:id="10" w:author="China Unicom" w:date="2023-05-30T17:18:13Z">
        <w:r>
          <w:rPr>
            <w:rFonts w:hint="eastAsia" w:eastAsia="宋体"/>
            <w:lang w:val="en-US" w:eastAsia="zh-CN"/>
          </w:rPr>
          <w:t>that</w:t>
        </w:r>
      </w:ins>
      <w:r>
        <w:t xml:space="preserve"> indicat</w:t>
      </w:r>
      <w:del w:id="11" w:author="China Unicom" w:date="2023-05-30T17:18:17Z">
        <w:r>
          <w:rPr>
            <w:rFonts w:hint="default" w:eastAsia="宋体"/>
            <w:lang w:val="en-US" w:eastAsia="zh-CN"/>
          </w:rPr>
          <w:delText>ing</w:delText>
        </w:r>
      </w:del>
      <w:ins w:id="12" w:author="China Unicom" w:date="2023-05-30T17:18:17Z">
        <w:r>
          <w:rPr>
            <w:rFonts w:hint="eastAsia" w:eastAsia="宋体"/>
            <w:lang w:val="en-US" w:eastAsia="zh-CN"/>
          </w:rPr>
          <w:t>es</w:t>
        </w:r>
      </w:ins>
      <w:r>
        <w:t xml:space="preserve"> </w:t>
      </w:r>
      <w:r>
        <w:rPr>
          <w:i/>
        </w:rPr>
        <w:t>txDiversity-r16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</w:t>
      </w:r>
      <w:r>
        <w:rPr>
          <w:rFonts w:hint="eastAsia" w:eastAsia="宋体"/>
          <w:lang w:val="en-US" w:eastAsia="zh-CN"/>
        </w:rPr>
        <w:t>.</w:t>
      </w:r>
    </w:p>
    <w:p>
      <w:pPr>
        <w:pStyle w:val="55"/>
        <w:rPr>
          <w:rFonts w:eastAsia="宋体"/>
          <w:lang w:val="en-US" w:eastAsia="zh-CN"/>
        </w:rPr>
      </w:pPr>
      <w:r>
        <w:t>Table 7.3A.</w:t>
      </w:r>
      <w:r>
        <w:rPr>
          <w:rFonts w:eastAsia="宋体"/>
          <w:lang w:eastAsia="zh-CN"/>
        </w:rPr>
        <w:t>4</w:t>
      </w:r>
      <w:r>
        <w:t>-2</w:t>
      </w:r>
      <w:r>
        <w:rPr>
          <w:rFonts w:hint="eastAsia" w:eastAsia="宋体"/>
          <w:lang w:val="en-US" w:eastAsia="zh-CN"/>
        </w:rPr>
        <w:t>a</w:t>
      </w:r>
      <w:r>
        <w:t>: Reference sensitivity exceptions and uplink/downlink configurations due to UL harmonic from a PC2 aggressor NR UL band for NR DL CA FR1</w:t>
      </w:r>
      <w:r>
        <w:rPr>
          <w:rFonts w:hint="eastAsia" w:eastAsia="宋体"/>
          <w:lang w:val="en-US" w:eastAsia="zh-CN"/>
        </w:rPr>
        <w:t xml:space="preserve"> for UE not supporting Tx Diversity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44"/>
        <w:gridCol w:w="857"/>
        <w:gridCol w:w="1044"/>
        <w:gridCol w:w="1719"/>
        <w:gridCol w:w="857"/>
        <w:gridCol w:w="722"/>
        <w:gridCol w:w="1438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51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51"/>
            </w:pPr>
            <w:r>
              <w:t>DL band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UL BW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DL BW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51"/>
            </w:pPr>
            <w:r>
              <w:t>(dB)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>2</w:t>
            </w:r>
            <w:r>
              <w:rPr>
                <w:rFonts w:hint="eastAsia"/>
                <w:bCs/>
                <w:lang w:val="en-US" w:eastAsia="zh-CN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>1</w:t>
            </w:r>
            <w:r>
              <w:rPr>
                <w:rFonts w:hint="eastAsia"/>
                <w:bCs/>
                <w:lang w:val="en-US" w:eastAsia="zh-CN"/>
              </w:rPr>
              <w:t>6.6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9"/>
            <w:vAlign w:val="center"/>
          </w:tcPr>
          <w:p>
            <w:pPr>
              <w:pStyle w:val="66"/>
              <w:rPr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UL NR-ARFCN of the aggressor (high) band (superscript HB) such that </w:t>
            </w:r>
            <w:r>
              <w:rPr>
                <w:lang w:eastAsia="ja-JP"/>
              </w:rPr>
              <w:object>
                <v:shape id="_x0000_i1029" o:spt="75" type="#_x0000_t75" style="height:10.5pt;width:77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5" r:id="rId9">
                  <o:LockedField>false</o:LockedField>
                </o:OLEObject>
              </w:object>
            </w:r>
            <w:r>
              <w:rPr>
                <w:lang w:eastAsia="ja-JP"/>
              </w:rPr>
              <w:t xml:space="preserve">in MHz and </w:t>
            </w:r>
            <w:r>
              <w:rPr>
                <w:lang w:eastAsia="ja-JP"/>
              </w:rPr>
              <w:object>
                <v:shape id="_x0000_i1030" o:spt="75" type="#_x0000_t75" style="height:10.5pt;width:205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26" r:id="rId11">
                  <o:LockedField>false</o:LockedField>
                </o:OLEObject>
              </w:object>
            </w:r>
            <w:r>
              <w:rPr>
                <w:lang w:eastAsia="ja-JP"/>
              </w:rPr>
              <w:t xml:space="preserve"> with</w:t>
            </w:r>
            <w:r>
              <w:rPr>
                <w:lang w:eastAsia="ja-JP"/>
              </w:rPr>
              <w:object>
                <v:shape id="_x0000_i1031" o:spt="75" type="#_x0000_t75" style="height:10.5pt;width:10.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27" r:id="rId13">
                  <o:LockedField>false</o:LockedField>
                </o:OLEObject>
              </w:object>
            </w:r>
            <w:r>
              <w:rPr>
                <w:lang w:eastAsia="ja-JP"/>
              </w:rPr>
              <w:t xml:space="preserve"> carrier frequency in the victim (lower) band in MHz and </w:t>
            </w:r>
            <w:r>
              <w:rPr>
                <w:lang w:eastAsia="ja-JP"/>
              </w:rPr>
              <w:object>
                <v:shape id="_x0000_i1032" o:spt="75" type="#_x0000_t75" style="height:10.5pt;width:36.5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28" r:id="rId15">
                  <o:LockedField>false</o:LockedField>
                </o:OLEObject>
              </w:object>
            </w:r>
            <w:r>
              <w:rPr>
                <w:lang w:eastAsia="ja-JP"/>
              </w:rPr>
              <w:t xml:space="preserve"> the channel bandwidth configured in the higher band.</w:t>
            </w:r>
          </w:p>
        </w:tc>
      </w:tr>
    </w:tbl>
    <w:p>
      <w:pPr>
        <w:rPr>
          <w:ins w:id="13" w:author="China Unicom" w:date="2023-05-30T17:19:11Z"/>
        </w:rPr>
      </w:pPr>
    </w:p>
    <w:p>
      <w:pPr>
        <w:keepNext/>
        <w:keepLines/>
        <w:spacing w:before="60"/>
        <w:jc w:val="center"/>
        <w:rPr>
          <w:ins w:id="14" w:author="China Unicom" w:date="2023-05-30T17:19:11Z"/>
          <w:rFonts w:hint="default" w:ascii="Arial" w:hAnsi="Arial" w:eastAsia="PMingLiU" w:cs="Arial"/>
          <w:b/>
          <w:bCs/>
          <w:lang w:val="en-US" w:eastAsia="zh-CN"/>
        </w:rPr>
      </w:pPr>
      <w:ins w:id="15" w:author="China Unicom" w:date="2023-05-30T17:19:11Z">
        <w:r>
          <w:rPr>
            <w:rFonts w:ascii="Arial" w:hAnsi="Arial" w:cs="Arial"/>
            <w:b/>
            <w:bCs/>
            <w:lang w:val="en-US"/>
          </w:rPr>
          <w:t xml:space="preserve">Table </w:t>
        </w:r>
      </w:ins>
      <w:ins w:id="16" w:author="China Unicom" w:date="2023-05-30T17:19:22Z">
        <w:r>
          <w:rPr>
            <w:rFonts w:hint="eastAsia" w:ascii="Arial" w:hAnsi="Arial" w:cs="Arial"/>
            <w:b/>
            <w:bCs/>
            <w:lang w:val="en-US"/>
          </w:rPr>
          <w:t>7.3A.4-2b</w:t>
        </w:r>
      </w:ins>
      <w:ins w:id="17" w:author="China Unicom" w:date="2023-05-30T17:19:11Z">
        <w:r>
          <w:rPr>
            <w:rFonts w:ascii="Arial" w:hAnsi="Arial" w:cs="Arial"/>
            <w:b/>
            <w:bCs/>
            <w:lang w:val="en-US"/>
          </w:rPr>
          <w:t xml:space="preserve">: </w:t>
        </w:r>
      </w:ins>
      <w:ins w:id="18" w:author="China Unicom" w:date="2023-05-30T17:19:11Z">
        <w:r>
          <w:rPr>
            <w:rFonts w:hint="default" w:ascii="Arial" w:hAnsi="Arial" w:cs="Arial"/>
            <w:b/>
            <w:bCs/>
            <w:sz w:val="20"/>
            <w:szCs w:val="20"/>
          </w:rPr>
          <w:t>Reference sensitivity exceptions and uplink/downlink configurations due to UL harmonic from a PC2 aggressor NR UL band for NR DL CA FR1</w:t>
        </w:r>
      </w:ins>
      <w:ins w:id="19" w:author="China Unicom" w:date="2023-05-30T17:19:11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t xml:space="preserve"> for UE</w:t>
        </w:r>
      </w:ins>
      <w:ins w:id="20" w:author="China Unicom" w:date="2023-05-30T17:19:11Z">
        <w:r>
          <w:rPr>
            <w:rFonts w:hint="eastAsia" w:ascii="Arial" w:hAnsi="Arial" w:cs="Arial"/>
            <w:b/>
            <w:bCs/>
            <w:lang w:val="en-US"/>
          </w:rPr>
          <w:t xml:space="preserve"> supporting Tx Diversity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44"/>
        <w:gridCol w:w="857"/>
        <w:gridCol w:w="1044"/>
        <w:gridCol w:w="1719"/>
        <w:gridCol w:w="857"/>
        <w:gridCol w:w="722"/>
        <w:gridCol w:w="1438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ins w:id="21" w:author="China Unicom" w:date="2023-05-30T17:19:11Z"/>
        </w:trPr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22" w:author="China Unicom" w:date="2023-05-30T17:19:11Z"/>
                <w:rFonts w:ascii="Arial" w:hAnsi="Arial" w:cs="Arial"/>
                <w:b/>
                <w:bCs/>
                <w:sz w:val="18"/>
                <w:szCs w:val="18"/>
              </w:rPr>
            </w:pPr>
            <w:ins w:id="23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24" w:author="China Unicom" w:date="2023-05-30T17:19:11Z"/>
                <w:rFonts w:ascii="Arial" w:hAnsi="Arial" w:cs="Arial"/>
                <w:b/>
                <w:bCs/>
                <w:sz w:val="18"/>
                <w:szCs w:val="18"/>
              </w:rPr>
            </w:pPr>
            <w:ins w:id="25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26" w:author="China Unicom" w:date="2023-05-30T17:19:11Z"/>
                <w:rFonts w:ascii="Arial" w:hAnsi="Arial" w:cs="Arial"/>
                <w:b/>
                <w:bCs/>
                <w:sz w:val="18"/>
                <w:szCs w:val="18"/>
              </w:rPr>
            </w:pPr>
            <w:ins w:id="27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28" w:author="China Unicom" w:date="2023-05-30T17:19:11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9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0" w:author="China Unicom" w:date="2023-05-30T17:19:11Z"/>
                <w:rFonts w:ascii="Arial" w:hAnsi="Arial" w:cs="Arial"/>
                <w:b/>
                <w:bCs/>
                <w:sz w:val="18"/>
                <w:szCs w:val="18"/>
              </w:rPr>
            </w:pPr>
            <w:ins w:id="31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2" w:author="China Unicom" w:date="2023-05-30T17:19:11Z"/>
                <w:rFonts w:ascii="Arial" w:hAnsi="Arial" w:cs="Arial"/>
                <w:b/>
                <w:bCs/>
                <w:sz w:val="18"/>
                <w:szCs w:val="18"/>
              </w:rPr>
            </w:pPr>
            <w:ins w:id="33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4" w:author="China Unicom" w:date="2023-05-30T17:19:11Z"/>
                <w:rFonts w:ascii="Arial" w:hAnsi="Arial" w:cs="Arial"/>
                <w:b/>
                <w:bCs/>
                <w:sz w:val="18"/>
                <w:szCs w:val="18"/>
              </w:rPr>
            </w:pPr>
            <w:ins w:id="35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36" w:author="China Unicom" w:date="2023-05-30T17:19:11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7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38" w:author="China Unicom" w:date="2023-05-30T17:19:11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9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40" w:author="China Unicom" w:date="2023-05-30T17:19:11Z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41" w:author="China Unicom" w:date="2023-05-30T17:19:11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42" w:author="China Unicom" w:date="2023-05-30T17:19:11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3" w:author="China Unicom" w:date="2023-05-30T17:19:11Z"/>
                <w:rFonts w:ascii="Arial" w:hAnsi="Arial" w:cs="Arial"/>
                <w:b/>
                <w:bCs/>
                <w:sz w:val="18"/>
                <w:szCs w:val="18"/>
              </w:rPr>
            </w:pPr>
            <w:ins w:id="44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5" w:author="China Unicom" w:date="2023-05-30T17:19:11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6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7" w:author="China Unicom" w:date="2023-05-30T17:19:11Z"/>
                <w:rFonts w:ascii="Arial" w:hAnsi="Arial" w:cs="Arial"/>
                <w:b/>
                <w:bCs/>
                <w:sz w:val="18"/>
                <w:szCs w:val="18"/>
              </w:rPr>
            </w:pPr>
            <w:ins w:id="48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</w:ins>
            <w:ins w:id="49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0" w:author="China Unicom" w:date="2023-05-30T17:19:11Z"/>
                <w:rFonts w:ascii="Arial" w:hAnsi="Arial" w:cs="Arial"/>
                <w:b/>
                <w:bCs/>
                <w:sz w:val="18"/>
                <w:szCs w:val="18"/>
              </w:rPr>
            </w:pPr>
            <w:ins w:id="51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2" w:author="China Unicom" w:date="2023-05-30T17:19:11Z"/>
                <w:rFonts w:ascii="Arial" w:hAnsi="Arial" w:cs="Arial"/>
                <w:b/>
                <w:bCs/>
                <w:sz w:val="18"/>
                <w:szCs w:val="18"/>
              </w:rPr>
            </w:pPr>
            <w:ins w:id="53" w:author="China Unicom" w:date="2023-05-30T17:19:11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54" w:author="China Unicom" w:date="2023-05-30T17:19:11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55" w:author="China Unicom" w:date="2023-05-30T17:19:11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56" w:author="China Unicom" w:date="2023-05-30T17:19:11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7" w:author="China Unicom" w:date="2023-05-30T17:19:11Z"/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58" w:author="China Unicom" w:date="2023-05-30T17:19:11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9" w:author="China Unicom" w:date="2023-05-30T17:19:11Z"/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60" w:author="China Unicom" w:date="2023-05-30T17:19:11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61" w:author="China Unicom" w:date="2023-05-30T17:19:11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62" w:author="China Unicom" w:date="2023-05-30T17:19:11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63" w:author="China Unicom" w:date="2023-05-30T17:19:11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64" w:author="China Unicom" w:date="2023-05-30T17:19:11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65" w:author="China Unicom" w:date="2023-05-30T17:19:11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6" w:author="China Unicom" w:date="2023-05-30T17:19:11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67" w:author="China Unicom" w:date="2023-05-30T17:19:11Z"/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68" w:author="China Unicom" w:date="2023-05-30T17:19:11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69" w:author="China Unicom" w:date="2023-05-30T17:19:11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70" w:author="China Unicom" w:date="2023-05-30T17:19:11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  <w:ins w:id="71" w:author="China Unicom" w:date="2023-05-30T17:20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2.</w:t>
              </w:r>
            </w:ins>
            <w:ins w:id="72" w:author="China Unicom" w:date="2023-05-30T17:20:08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73" w:author="China Unicom" w:date="2023-05-30T17:19:11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74" w:author="China Unicom" w:date="2023-05-30T17:19:11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75" w:author="China Unicom" w:date="2023-05-30T17:19:11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76" w:author="China Unicom" w:date="2023-05-30T17:19:11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ins w:id="77" w:author="China Unicom" w:date="2023-05-30T17:19:11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78" w:author="China Unicom" w:date="2023-05-30T17:19:11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79" w:author="China Unicom" w:date="2023-05-30T17:19:11Z"/>
        </w:trPr>
        <w:tc>
          <w:tcPr>
            <w:tcW w:w="0" w:type="auto"/>
            <w:gridSpan w:val="9"/>
            <w:vAlign w:val="center"/>
          </w:tcPr>
          <w:p>
            <w:pPr>
              <w:spacing w:after="0"/>
              <w:jc w:val="both"/>
              <w:rPr>
                <w:ins w:id="80" w:author="China Unicom" w:date="2023-05-30T17:19:11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1" w:author="China Unicom" w:date="2023-05-30T17:19:11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>NOTE 2:</w:t>
              </w:r>
            </w:ins>
            <w:ins w:id="82" w:author="China Unicom" w:date="2023-05-30T17:19:11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ab/>
              </w:r>
            </w:ins>
            <w:ins w:id="83" w:author="China Unicom" w:date="2023-05-30T17:19:11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The requirements should be verified for UL NR-ARFCN of the aggressor (high) band (superscript HB) such that </w:t>
              </w:r>
            </w:ins>
            <w:ins w:id="84" w:author="China Unicom" w:date="2023-05-30T17:19:11Z"/>
            <w:ins w:id="85" w:author="China Unicom" w:date="2023-05-30T17:19:11Z"/>
            <w:ins w:id="86" w:author="China Unicom" w:date="2023-05-30T17:19:11Z"/>
            <w:ins w:id="87" w:author="China Unicom" w:date="2023-05-30T17:19:11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33" o:spt="75" type="#_x0000_t75" style="height:11.55pt;width:78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33" DrawAspect="Content" ObjectID="_1468075729" r:id="rId17">
                    <o:LockedField>false</o:LockedField>
                  </o:OLEObject>
                </w:object>
              </w:r>
            </w:ins>
            <w:ins w:id="89" w:author="China Unicom" w:date="2023-05-30T17:19:11Z"/>
            <w:ins w:id="90" w:author="China Unicom" w:date="2023-05-30T17:19:11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in MHz and </w:t>
              </w:r>
            </w:ins>
            <w:ins w:id="91" w:author="China Unicom" w:date="2023-05-30T17:19:11Z"/>
            <w:ins w:id="92" w:author="China Unicom" w:date="2023-05-30T17:19:11Z"/>
            <w:ins w:id="93" w:author="China Unicom" w:date="2023-05-30T17:19:11Z"/>
            <w:ins w:id="94" w:author="China Unicom" w:date="2023-05-30T17:19:11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34" o:spt="75" type="#_x0000_t75" style="height:11.55pt;width:204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34" DrawAspect="Content" ObjectID="_1468075730" r:id="rId18">
                    <o:LockedField>false</o:LockedField>
                  </o:OLEObject>
                </w:object>
              </w:r>
            </w:ins>
            <w:ins w:id="96" w:author="China Unicom" w:date="2023-05-30T17:19:11Z"/>
            <w:ins w:id="97" w:author="China Unicom" w:date="2023-05-30T17:19:11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 with</w:t>
              </w:r>
            </w:ins>
            <w:ins w:id="98" w:author="China Unicom" w:date="2023-05-30T17:19:11Z"/>
            <w:ins w:id="99" w:author="China Unicom" w:date="2023-05-30T17:19:11Z"/>
            <w:ins w:id="100" w:author="China Unicom" w:date="2023-05-30T17:19:11Z"/>
            <w:ins w:id="101" w:author="China Unicom" w:date="2023-05-30T17:19:11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35" o:spt="75" type="#_x0000_t75" style="height:11.55pt;width:11.55pt;" o:ole="t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35" DrawAspect="Content" ObjectID="_1468075731" r:id="rId19">
                    <o:LockedField>false</o:LockedField>
                  </o:OLEObject>
                </w:object>
              </w:r>
            </w:ins>
            <w:ins w:id="103" w:author="China Unicom" w:date="2023-05-30T17:19:11Z"/>
            <w:ins w:id="104" w:author="China Unicom" w:date="2023-05-30T17:19:11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 carrier frequency in the victim (lower) band in MHz and </w:t>
              </w:r>
            </w:ins>
            <w:ins w:id="105" w:author="China Unicom" w:date="2023-05-30T17:19:11Z"/>
            <w:ins w:id="106" w:author="China Unicom" w:date="2023-05-30T17:19:11Z"/>
            <w:ins w:id="107" w:author="China Unicom" w:date="2023-05-30T17:19:11Z"/>
            <w:ins w:id="108" w:author="China Unicom" w:date="2023-05-30T17:19:11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36" o:spt="75" type="#_x0000_t75" style="height:11.55pt;width:36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3" ShapeID="_x0000_i1036" DrawAspect="Content" ObjectID="_1468075732" r:id="rId20">
                    <o:LockedField>false</o:LockedField>
                  </o:OLEObject>
                </w:object>
              </w:r>
            </w:ins>
            <w:ins w:id="110" w:author="China Unicom" w:date="2023-05-30T17:19:11Z"/>
            <w:ins w:id="111" w:author="China Unicom" w:date="2023-05-30T17:19:11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 the channel bandwidth configured in the higher band.</w:t>
              </w:r>
            </w:ins>
          </w:p>
        </w:tc>
      </w:tr>
    </w:tbl>
    <w:p/>
    <w:p>
      <w:pPr>
        <w:rPr>
          <w:rFonts w:hint="default" w:ascii="Arial" w:hAnsi="Arial" w:cs="Times New Roman" w:eastAsiaTheme="minorEastAsia"/>
          <w:color w:val="FF0000"/>
          <w:sz w:val="32"/>
          <w:lang w:val="en-US" w:eastAsia="zh-CN" w:bidi="ar-SA"/>
        </w:rPr>
      </w:pPr>
    </w:p>
    <w:p>
      <w:pPr>
        <w:pStyle w:val="3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</w:p>
    <w:p>
      <w:bookmarkStart w:id="1" w:name="_GoBack"/>
      <w:bookmarkEnd w:id="1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3539E9"/>
    <w:rsid w:val="0FC620E5"/>
    <w:rsid w:val="3DA20253"/>
    <w:rsid w:val="489C443E"/>
    <w:rsid w:val="492C5776"/>
    <w:rsid w:val="59876214"/>
    <w:rsid w:val="6DB02D6F"/>
    <w:rsid w:val="6DFF0284"/>
    <w:rsid w:val="736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4" Type="http://schemas.microsoft.com/office/2011/relationships/people" Target="people.xml"/><Relationship Id="rId23" Type="http://schemas.openxmlformats.org/officeDocument/2006/relationships/fontTable" Target="fontTable.xml"/><Relationship Id="rId22" Type="http://schemas.microsoft.com/office/2006/relationships/keyMapCustomizations" Target="customizations.xml"/><Relationship Id="rId21" Type="http://schemas.openxmlformats.org/officeDocument/2006/relationships/customXml" Target="../customXml/item1.xml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" Type="http://schemas.openxmlformats.org/officeDocument/2006/relationships/oleObject" Target="embeddings/oleObject5.bin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2023-05-30T09:21:23Z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R4-2218620</vt:lpwstr>
  </property>
  <property fmtid="{D5CDD505-2E9C-101B-9397-08002B2CF9AE}" pid="10" name="Spec#">
    <vt:lpwstr>38.101-1</vt:lpwstr>
  </property>
  <property fmtid="{D5CDD505-2E9C-101B-9397-08002B2CF9AE}" pid="11" name="Cr#">
    <vt:lpwstr>1232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BigCR for High power UE for inter-band CA with power class 2 on single carrier uplink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HPUE_FR1_FDD_NR_CADC_R18-Core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2052-11.8.2.11824</vt:lpwstr>
  </property>
  <property fmtid="{D5CDD505-2E9C-101B-9397-08002B2CF9AE}" pid="22" name="ICV">
    <vt:lpwstr>A1F08391016B481A83243103BD3834E6</vt:lpwstr>
  </property>
</Properties>
</file>